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SPK ve savcılık</w:t>
        <w:br/>
        <w:t>başvuru örnekleri</w:t>
      </w:r>
    </w:p>
    <w:p>
      <w:pPr>
        <w:pStyle w:val="Subtitle"/>
      </w:pPr>
      <w:r>
        <w:t>Hisse yatırımcıları için işlem cetveli ve delil dizini</w:t>
      </w:r>
    </w:p>
    <w:p>
      <w:r>
        <w:t>Bu dosya, yanıltıcı olduğu iddia edilen bir paylaşımı gördükten sonra doğrudan borsadan hisse alan kurgusal bir yatırımcının olayını, işlemlerini ve delillerini iki farklı başvuruya nasıl aktarabileceğini gösterir. SPK’dan inceleme ve denetim; savcılıktan suç şüphesinin araştırılması istenir. Bu başvurular kişisel zararın kendiliğinden ödenmesini sağlamaz.</w:t>
      </w:r>
    </w:p>
    <w:p>
      <w:pPr>
        <w:pStyle w:val="Heading2"/>
      </w:pPr>
      <w:r>
        <w:t>Belgede neler var</w:t>
      </w:r>
    </w:p>
    <w:p>
      <w:pPr>
        <w:spacing w:after="100"/>
      </w:pPr>
      <w:r>
        <w:rPr>
          <w:b/>
        </w:rPr>
        <w:t xml:space="preserve">01   </w:t>
      </w:r>
      <w:hyperlink w:anchor="spk_ornegi">
        <w:r>
          <w:rPr>
            <w:color w:val="214D42"/>
            <w:u w:val="single"/>
          </w:rPr>
          <w:t>SPK başvurusu</w:t>
        </w:r>
      </w:hyperlink>
      <w:r>
        <w:t xml:space="preserve">  ·  sayfa </w:t>
      </w:r>
      <w:fldSimple w:instr="PAGEREF spk_ornegi \h">
        <w:r>
          <w:t>2</w:t>
        </w:r>
      </w:fldSimple>
    </w:p>
    <w:p>
      <w:pPr>
        <w:spacing w:after="100"/>
      </w:pPr>
      <w:r>
        <w:rPr>
          <w:b/>
        </w:rPr>
        <w:t xml:space="preserve">02   </w:t>
      </w:r>
      <w:hyperlink w:anchor="savcilik_ornegi">
        <w:r>
          <w:rPr>
            <w:color w:val="214D42"/>
            <w:u w:val="single"/>
          </w:rPr>
          <w:t>Savcılık başvurusu</w:t>
        </w:r>
      </w:hyperlink>
      <w:r>
        <w:t xml:space="preserve">  ·  sayfa </w:t>
      </w:r>
      <w:fldSimple w:instr="PAGEREF savcilik_ornegi \h">
        <w:r>
          <w:t>4</w:t>
        </w:r>
      </w:fldSimple>
    </w:p>
    <w:p>
      <w:pPr>
        <w:spacing w:after="100"/>
      </w:pPr>
      <w:r>
        <w:rPr>
          <w:b/>
        </w:rPr>
        <w:t xml:space="preserve">03   </w:t>
      </w:r>
      <w:hyperlink w:anchor="islem_cetveli">
        <w:r>
          <w:rPr>
            <w:color w:val="214D42"/>
            <w:u w:val="single"/>
          </w:rPr>
          <w:t>İşlem ve ekonomik fark cetveli</w:t>
        </w:r>
      </w:hyperlink>
      <w:r>
        <w:t xml:space="preserve">  ·  sayfa </w:t>
      </w:r>
      <w:fldSimple w:instr="PAGEREF islem_cetveli \h">
        <w:r>
          <w:t>6</w:t>
        </w:r>
      </w:fldSimple>
    </w:p>
    <w:p>
      <w:pPr>
        <w:spacing w:after="100"/>
      </w:pPr>
      <w:r>
        <w:rPr>
          <w:b/>
        </w:rPr>
        <w:t xml:space="preserve">04   </w:t>
      </w:r>
      <w:hyperlink w:anchor="delil_dizini">
        <w:r>
          <w:rPr>
            <w:color w:val="214D42"/>
            <w:u w:val="single"/>
          </w:rPr>
          <w:t>Delil ekleri dizini</w:t>
        </w:r>
      </w:hyperlink>
      <w:r>
        <w:t xml:space="preserve">  ·  sayfa </w:t>
      </w:r>
      <w:fldSimple w:instr="PAGEREF delil_dizini \h">
        <w:r>
          <w:t>8</w:t>
        </w:r>
      </w:fldSimple>
    </w:p>
    <w:p>
      <w:pPr>
        <w:pStyle w:val="Heading2"/>
      </w:pPr>
      <w:r>
        <w:t>Örneği kendi dosyanıza uyarlarken</w:t>
      </w:r>
    </w:p>
    <w:p>
      <w:pPr>
        <w:ind w:left="340" w:hanging="340"/>
      </w:pPr>
      <w:r>
        <w:t xml:space="preserve">1. </w:t>
      </w:r>
      <w:r>
        <w:t>Önce olay tarihlerini, işlem dökümlerini ve mevcut pay miktarını karşılaştırın. Örnekteki tutarları kendi hesabınıza taşımayın.</w:t>
      </w:r>
    </w:p>
    <w:p>
      <w:pPr>
        <w:ind w:left="340" w:hanging="340"/>
      </w:pPr>
      <w:r>
        <w:t xml:space="preserve">2. </w:t>
      </w:r>
      <w:r>
        <w:t>Olayı kendi bildiğiniz ve belgelendirebildiğiniz biçimiyle yazın. Böyle bir paylaşım görmediyseniz veya yatırım kararınız bu açıklamaya dayanmıyorsa, örnekteki bu iddiayı kendi başvurunuza eklemeyin. Kimlik, tebligat adresi, iletişim ve hesap bilgileri ile imza kısmını kendi bilgilerinize göre tamamlayın.</w:t>
      </w:r>
    </w:p>
    <w:p>
      <w:pPr>
        <w:ind w:left="340" w:hanging="340"/>
      </w:pPr>
      <w:r>
        <w:t xml:space="preserve">3. </w:t>
      </w:r>
      <w:r>
        <w:t>Yalnız gerçekten sunduğunuz belgeleri ek dizinine yazın. Mevcut SPK veya savcılık dosyası varsa ilgili dosya numarasıyla bağlantı kurun.</w:t>
      </w:r>
    </w:p>
    <w:p>
      <w:pPr>
        <w:ind w:left="340" w:hanging="340"/>
      </w:pPr>
      <w:r>
        <w:t xml:space="preserve">4. </w:t>
      </w:r>
      <w:r>
        <w:t>İstanbul başsavcılığı örneği bütün yatırımcılar için yetkili makam değildir. Başvuru yeri somut olay ve yetki kurallarına göre belirlenir.</w:t>
      </w:r>
    </w:p>
    <w:p>
      <w:pPr>
        <w:pStyle w:val="Heading2"/>
      </w:pPr>
      <w:r>
        <w:t>Kurgusal örnek hakkında</w:t>
      </w:r>
    </w:p>
    <w:p>
      <w:r>
        <w:t>Deniz Örnek, ÖRNEK PAY ve anlatılan paylaşım gerçek değildir. Bu dosya gerçek bir kişi veya kuruma suç isnadı içermez; bir başvuruya aynen sunulmak üzere hazırlanmamıştır. Gerçek ya da uydurma T.C. kimlik numarası, adres, hesap numarası ve imza kullanılmamıştır.</w:t>
      </w:r>
    </w:p>
    <w:p>
      <w:r>
        <w:t>Örnek başvuru tarihi 3 Kasım 2026; hesapta kullanılan değerleme tarihi 15 Ekim 2026’dır. Ekler bölümü gerçek delilleri değil, hangi belgelerin birlikte sunulacağını gösteren dizini içerir.</w:t>
      </w:r>
    </w:p>
    <w:p>
      <w:r>
        <w:t xml:space="preserve">Başvuru kanalları, cevap sonrasındaki adımlar ve farklı olayların uyarlanması için </w:t>
      </w:r>
      <w:hyperlink r:id="rId11">
        <w:r>
          <w:rPr>
            <w:color w:val="214D42"/>
            <w:u w:val="single"/>
          </w:rPr>
          <w:t>hisse mağdurlarına yönelik güncel başvuru rehberini</w:t>
        </w:r>
      </w:hyperlink>
      <w:r>
        <w:t xml:space="preserve"> inceleyebilirsiniz.</w:t>
      </w:r>
    </w:p>
    <w:p>
      <w:pPr>
        <w:sectPr>
          <w:headerReference w:type="default" r:id="rId9"/>
          <w:footerReference w:type="default" r:id="rId10"/>
          <w:pgSz w:w="11906" w:h="16838"/>
          <w:pgMar w:top="1020" w:right="1191" w:bottom="1020" w:left="1191" w:header="397" w:footer="397" w:gutter="0"/>
          <w:cols w:space="720"/>
          <w:docGrid w:linePitch="360"/>
        </w:sectPr>
      </w:pPr>
    </w:p>
    <w:p>
      <w:bookmarkStart w:id="101" w:name="spk_ornegi"/>
      <w:pPr>
        <w:pStyle w:val="Heading1"/>
      </w:pPr>
      <w:r>
        <w:t>01   SPK başvurusu</w:t>
      </w:r>
      <w:bookmarkEnd w:id="101"/>
    </w:p>
    <w:p>
      <w:pPr>
        <w:spacing w:before="180" w:after="280"/>
        <w:jc w:val="center"/>
      </w:pPr>
      <w:r>
        <w:rPr>
          <w:b/>
          <w:sz w:val="24"/>
        </w:rPr>
        <w:t>SERMAYE PİYASASI KURULU BAŞKANLIĞINA</w:t>
      </w:r>
    </w:p>
    <w:p>
      <w:pPr>
        <w:tabs>
          <w:tab w:pos="1757" w:val="left"/>
        </w:tabs>
        <w:spacing w:after="100"/>
        <w:ind w:left="1757" w:hanging="1757"/>
      </w:pPr>
      <w:r>
        <w:rPr>
          <w:b/>
        </w:rPr>
        <w:t>Başvuran:</w:t>
        <w:tab/>
      </w:r>
      <w:r>
        <w:t>Deniz Örnek — kurgusal yatırımcı</w:t>
      </w:r>
    </w:p>
    <w:p>
      <w:pPr>
        <w:tabs>
          <w:tab w:pos="1757" w:val="left"/>
        </w:tabs>
        <w:spacing w:after="100"/>
        <w:ind w:left="1757" w:hanging="1757"/>
      </w:pPr>
      <w:r>
        <w:rPr>
          <w:b/>
        </w:rPr>
        <w:t>Konu:</w:t>
        <w:tab/>
      </w:r>
      <w:r>
        <w:t>ÖRNEK PAY olarak adlandırılan temsili pay hakkında 7 Eylül 2026 tarihli paylaşımın, ilgili dönem işlemlerinin ve kişisel zararımla bağlantısının incelenmesi talebidir.</w:t>
      </w:r>
    </w:p>
    <w:p>
      <w:pPr>
        <w:tabs>
          <w:tab w:pos="1757" w:val="left"/>
        </w:tabs>
        <w:spacing w:after="100"/>
        <w:ind w:left="1757" w:hanging="1757"/>
      </w:pPr>
      <w:r>
        <w:rPr>
          <w:b/>
        </w:rPr>
        <w:t>Başvuru tarihi:</w:t>
        <w:tab/>
      </w:r>
      <w:r>
        <w:t>3 Kasım 2026</w:t>
      </w:r>
    </w:p>
    <w:p>
      <w:pPr>
        <w:pStyle w:val="Heading2"/>
      </w:pPr>
      <w:r>
        <w:rPr>
          <w:b/>
          <w:i w:val="0"/>
        </w:rPr>
        <w:t>Açıklamalar</w:t>
      </w:r>
    </w:p>
    <w:p>
      <w:pPr>
        <w:ind w:left="351" w:hanging="351"/>
      </w:pPr>
      <w:r>
        <w:rPr>
          <w:b w:val="0"/>
          <w:i w:val="0"/>
        </w:rPr>
        <w:t>1. ÖRNEK PAY’ı kendi yatırım hesabımdan doğrudan satın aldım. Başvurum fon katılma payına ilişkin değildir. 8 Eylül 2026 tarihinde 1.000 payı 40,00 TL’den, 10 Eylül 2026 tarihinde 500 payı 44,00 TL’den aldım. Alışların toplamı 62.000,00 TL, alış komisyonları 62,00 TL’dir. İşlemler Ek-1’de, pay hareketleri Ek-2’de gösterilmiştir.</w:t>
      </w:r>
    </w:p>
    <w:p>
      <w:pPr>
        <w:ind w:left="351" w:hanging="351"/>
      </w:pPr>
      <w:r>
        <w:rPr>
          <w:b w:val="0"/>
          <w:i w:val="0"/>
        </w:rPr>
        <w:t>2. Alımlardan önce gördüğüm 7 Eylül 2026 tarihli sosyal medya paylaşımında şirketin önemli bir satış sözleşmesi imzaladığı ve bedelini tahsil ettiği ileri sürülmüştür. Paylaşımın tam kaydı, bağlantısı ve hesap bilgileri Ek-3’tedir. Bu bilgi yatırım kararımı etkiledi. 11 Eylül 2026 tarihli şirket açıklamasında ise sözleşme ve tahsilatın bulunmadığı bildirilmiştir. Açıklama Ek-4’tedir.</w:t>
      </w:r>
    </w:p>
    <w:p>
      <w:pPr>
        <w:ind w:left="351" w:hanging="351"/>
      </w:pPr>
      <w:r>
        <w:rPr>
          <w:b w:val="0"/>
          <w:i w:val="0"/>
        </w:rPr>
        <w:t>3. 22 Eylül 2026 tarihinde 600 payı 28,00 TL’den sattım. 16,80 TL satış komisyonu sonrasında hesabıma 16.783,20 TL geçti. 15 Ekim 2026 itibarıyla kalan 900 payın, örnekte kullanılan 22,00 TL birim değer üzerinden karşılığı 19.800,00 TL’dir. Alım-satım ve değerleme hesabı Ek-6’dadır. Bu tarihteki ekonomik fark 25.478,80 TL olup tamamının hukuken tazmin edilecek zarar olduğunu ileri sürmüyorum; ihlalin etkisinin ilgili kayıtlarla ayrıştırılmasını istiyorum.</w:t>
      </w:r>
    </w:p>
    <w:p>
      <w:r>
        <w:br w:type="page"/>
      </w:r>
    </w:p>
    <w:p>
      <w:pPr>
        <w:pStyle w:val="Heading1"/>
      </w:pPr>
      <w:r>
        <w:t>SPK başvurusu devamı</w:t>
      </w:r>
    </w:p>
    <w:p>
      <w:pPr>
        <w:ind w:left="351" w:hanging="351"/>
      </w:pPr>
      <w:r>
        <w:rPr>
          <w:b w:val="0"/>
          <w:i w:val="0"/>
        </w:rPr>
        <w:t>4. Paylaşımı yapan hesabın gerçek kullanıcısını ve ilgili tarihlerde hangi hesaplardan işlem yapıldığını bilmiyorum. Paylaşımın gerçeğe aykırılığı, kim tarafından ve hangi amaçla yapıldığı, bu açıklamadan yararlanılarak menfaat sağlanıp sağlanmadığı ile varsa fon veya bağlantılı hesap işlemlerinin araştırılmasını talep ediyorum. Yalnızca fiyatın düşmesinden hareketle herhangi bir gerçek kişi veya kurumu suçlamıyorum.</w:t>
      </w:r>
    </w:p>
    <w:p>
      <w:pPr>
        <w:pStyle w:val="Heading2"/>
      </w:pPr>
      <w:r>
        <w:rPr>
          <w:b/>
          <w:i w:val="0"/>
        </w:rPr>
        <w:t>İncelenmesini istediğim hususlar ve talepler</w:t>
      </w:r>
    </w:p>
    <w:p>
      <w:pPr>
        <w:ind w:left="351" w:hanging="351"/>
      </w:pPr>
      <w:r>
        <w:t xml:space="preserve">1. </w:t>
      </w:r>
      <w:r>
        <w:rPr>
          <w:b w:val="0"/>
          <w:i w:val="0"/>
        </w:rPr>
        <w:t>Ek-3 ve Ek-4’teki açıklamaların, paylaşımın yayılma biçiminin ve 7–22 Eylül 2026 dönemindeki işlemlerin ilgili mevzuat yönünden incelenmesini, incelemenin gerektirdiği önceki ve sonraki dönem kayıtlarının da değerlendirilmesini,</w:t>
      </w:r>
    </w:p>
    <w:p>
      <w:pPr>
        <w:ind w:left="351" w:hanging="351"/>
      </w:pPr>
      <w:r>
        <w:t xml:space="preserve">2. </w:t>
      </w:r>
      <w:r>
        <w:rPr>
          <w:b w:val="0"/>
          <w:i w:val="0"/>
        </w:rPr>
        <w:t>Gerekli görülürse Borsa İstanbul, MKK, ilgili yatırım kuruluşları ve diğer yetkili mercilerden emir, işlem, hesap bağlantısı ve menfaat kayıtlarının teminini; bu kayıtların korunmasını,</w:t>
      </w:r>
    </w:p>
    <w:p>
      <w:pPr>
        <w:ind w:left="351" w:hanging="351"/>
      </w:pPr>
      <w:r>
        <w:t xml:space="preserve">3. </w:t>
      </w:r>
      <w:r>
        <w:rPr>
          <w:b w:val="0"/>
          <w:i w:val="0"/>
        </w:rPr>
        <w:t>Somut fiiller yönünden şartları oluşmuşsa 6362 sayılı Kanun m.107 ve m.115 çerçevesindeki işlemlerin değerlendirilmesini,</w:t>
      </w:r>
    </w:p>
    <w:p>
      <w:pPr>
        <w:ind w:left="351" w:hanging="351"/>
      </w:pPr>
      <w:r>
        <w:t xml:space="preserve">4. </w:t>
      </w:r>
      <w:r>
        <w:rPr>
          <w:b w:val="0"/>
          <w:i w:val="0"/>
        </w:rPr>
        <w:t>Aynı pay ve dönem hakkında mevcut inceleme veya yazılı başvuru varsa sunulan belgelerimin ilgili dosyayla ilişkilendirilmesini ve açıklanması mümkün kapsamda başvurum hakkında bilgi verilmesini arz ederim.</w:t>
      </w:r>
    </w:p>
    <w:p>
      <w:r>
        <w:rPr>
          <w:b/>
          <w:i w:val="0"/>
        </w:rPr>
        <w:t>Ekler:</w:t>
      </w:r>
      <w:r>
        <w:rPr>
          <w:b w:val="0"/>
          <w:i w:val="0"/>
        </w:rPr>
        <w:t xml:space="preserve"> Ek-1 işlem dökümü; Ek-2 MKK hareket ve bakiye kaydı; Ek-3 paylaşım kaydı; Ek-4 şirket açıklaması; Ek-5 fiyat ve hacim verileri; Ek-6 alım-satım ve ekonomik fark cetveli.</w:t>
      </w:r>
    </w:p>
    <w:p>
      <w:pPr>
        <w:sectPr>
          <w:headerReference w:type="default" r:id="rId12"/>
          <w:footerReference w:type="default" r:id="rId13"/>
          <w:pgSz w:w="11906" w:h="16838"/>
          <w:pgMar w:top="1020" w:right="1191" w:bottom="1020" w:left="1191" w:header="397" w:footer="397" w:gutter="0"/>
          <w:cols w:space="720"/>
          <w:docGrid w:linePitch="360"/>
        </w:sectPr>
      </w:pPr>
    </w:p>
    <w:p>
      <w:bookmarkStart w:id="102" w:name="savcilik_ornegi"/>
      <w:pPr>
        <w:pStyle w:val="Heading1"/>
      </w:pPr>
      <w:r>
        <w:t>02   Savcılık başvurusu</w:t>
      </w:r>
      <w:bookmarkEnd w:id="102"/>
    </w:p>
    <w:p>
      <w:pPr>
        <w:spacing w:before="180" w:after="280"/>
        <w:jc w:val="center"/>
      </w:pPr>
      <w:r>
        <w:rPr>
          <w:b/>
          <w:sz w:val="24"/>
        </w:rPr>
        <w:t>İSTANBUL CUMHURİYET BAŞSAVCILIĞINA</w:t>
      </w:r>
    </w:p>
    <w:p>
      <w:pPr>
        <w:tabs>
          <w:tab w:pos="1757" w:val="left"/>
        </w:tabs>
        <w:spacing w:after="100"/>
        <w:ind w:left="1757" w:hanging="1757"/>
      </w:pPr>
      <w:r>
        <w:rPr>
          <w:b/>
        </w:rPr>
        <w:t>Başvuran:</w:t>
        <w:tab/>
      </w:r>
      <w:r>
        <w:t>Deniz Örnek — kurgusal yatırımcı</w:t>
      </w:r>
    </w:p>
    <w:p>
      <w:pPr>
        <w:tabs>
          <w:tab w:pos="1757" w:val="left"/>
        </w:tabs>
        <w:spacing w:after="100"/>
        <w:ind w:left="1757" w:hanging="1757"/>
      </w:pPr>
      <w:r>
        <w:rPr>
          <w:b/>
        </w:rPr>
        <w:t>Şüpheliler:</w:t>
        <w:tab/>
      </w:r>
      <w:r>
        <w:t>Ek-3’teki paylaşımı oluşturan, yayan ve olayla bağlantılı işlemleri gerçekleştiren, kimlikleri soruşturmayla belirlenecek kişiler.</w:t>
      </w:r>
    </w:p>
    <w:p>
      <w:pPr>
        <w:tabs>
          <w:tab w:pos="1757" w:val="left"/>
        </w:tabs>
        <w:spacing w:after="100"/>
        <w:ind w:left="1757" w:hanging="1757"/>
      </w:pPr>
      <w:r>
        <w:rPr>
          <w:b/>
        </w:rPr>
        <w:t>Konu:</w:t>
        <w:tab/>
      </w:r>
      <w:r>
        <w:t>ÖRNEK PAY hakkındaki yanıltıcı olduğu ileri sürülen açıklama ve bağlantılı işlemler nedeniyle ihbar ve şikâyetimin, delillerimin ve kayıtların korunması talebimin sunulmasıdır.</w:t>
      </w:r>
    </w:p>
    <w:p>
      <w:pPr>
        <w:tabs>
          <w:tab w:pos="1757" w:val="left"/>
        </w:tabs>
        <w:spacing w:after="100"/>
        <w:ind w:left="1757" w:hanging="1757"/>
      </w:pPr>
      <w:r>
        <w:rPr>
          <w:b/>
        </w:rPr>
        <w:t>Başvuru tarihi:</w:t>
        <w:tab/>
      </w:r>
      <w:r>
        <w:t>3 Kasım 2026</w:t>
      </w:r>
    </w:p>
    <w:p>
      <w:pPr>
        <w:pStyle w:val="Heading2"/>
      </w:pPr>
      <w:r>
        <w:rPr>
          <w:b/>
          <w:i w:val="0"/>
        </w:rPr>
        <w:t>Olaylar</w:t>
      </w:r>
    </w:p>
    <w:p>
      <w:pPr>
        <w:ind w:left="351" w:hanging="351"/>
      </w:pPr>
      <w:r>
        <w:rPr>
          <w:b w:val="0"/>
          <w:i w:val="0"/>
        </w:rPr>
        <w:t>1. 7 Eylül 2026 tarihli sosyal medya paylaşımında ÖRNEK PAY’ın temsil ettiği şirketin önemli bir satış sözleşmesi imzaladığı ve bedelini tahsil ettiği açıklanmıştır. Ek-3’teki paylaşımı alımlarım öncesinde gördüm; bu bilgi yatırım kararımı etkiledi. 8 Eylül’de 1.000 payı 40,00 TL’den, 10 Eylül’de 500 payı 44,00 TL’den satın aldım. İşlem bedelleri ve komisyonlarla birlikte hesabımdan 62.062,00 TL çıktı.</w:t>
      </w:r>
    </w:p>
    <w:p>
      <w:pPr>
        <w:ind w:left="351" w:hanging="351"/>
      </w:pPr>
      <w:r>
        <w:rPr>
          <w:b w:val="0"/>
          <w:i w:val="0"/>
        </w:rPr>
        <w:t>2. 11 Eylül tarihli şirket açıklamasında söz konusu sözleşme ve tahsilatın bulunmadığı bildirildi. Paylaşım ile açıklama arasındaki bu çelişkinin ve paylaşımın gerçek kaynağının araştırılmasını istiyorum. Paylaşımı yapan hesabın gerçek kullanıcısı, hesaplar arasındaki ilişki ve elde edilmiş olabilecek menfaat hakkında kendi erişimimle doğrulayabildiğim bir kayıt bulunmamaktadır.</w:t>
      </w:r>
    </w:p>
    <w:p>
      <w:pPr>
        <w:ind w:left="351" w:hanging="351"/>
      </w:pPr>
      <w:r>
        <w:rPr>
          <w:b w:val="0"/>
          <w:i w:val="0"/>
        </w:rPr>
        <w:t>3. 22 Eylül’de 600 payı 28,00 TL’den sattım. Komisyon sonrası 16.783,20 TL tahsil ettim. Kalan 900 payın 15 Ekim 2026 için örnekte esas alınan değeri 19.800,00 TL’dir. Ek-6’daki hesapta bu tarih itibarıyla ekonomik fark 25.478,80 TL olarak gösterilmiştir. Gerçekleşmiş satış farkı ile eldeki payların değerleme farkı ayrı yazılmıştır. Suça konu olabilecek fiillerin bu kayba etkisinin uzman incelemesiyle belirlenmesini istiyorum.</w:t>
      </w:r>
    </w:p>
    <w:p>
      <w:r>
        <w:br w:type="page"/>
      </w:r>
    </w:p>
    <w:p>
      <w:pPr>
        <w:pStyle w:val="Heading1"/>
      </w:pPr>
      <w:r>
        <w:t>Savcılık başvurusu devamı</w:t>
      </w:r>
    </w:p>
    <w:p>
      <w:pPr>
        <w:ind w:left="351" w:hanging="351"/>
      </w:pPr>
      <w:r>
        <w:rPr>
          <w:b w:val="0"/>
          <w:i w:val="0"/>
        </w:rPr>
        <w:t>4. Olayın fonlarla ilişkili olduğuna dair kamuoyundaki genel ifadelerden hareketle belirli bir fon yöneticisini veya kurumu fail olarak göstermiyorum. Varsa fon işlemleriyle, paylaşımı yapanlarla ve menfaat sağlayan hesaplarla bağlantının ilgili kayıtlar üzerinden ortaya konulmasını talep ediyorum. 6362 sayılı Kanun kapsamındaki fiiller bakımından m.115’teki Kurul yazılı başvuru şartının gözetilmesini; aynı pay, dönem ve fiil hakkında başvuru veya soruşturma bulunuyorsa belgelerimin bu dosyayla ilişkilendirilmesini istiyorum.</w:t>
      </w:r>
    </w:p>
    <w:p>
      <w:pPr>
        <w:pStyle w:val="Heading2"/>
      </w:pPr>
      <w:r>
        <w:rPr>
          <w:b/>
          <w:i w:val="0"/>
        </w:rPr>
        <w:t>Deliller ve araştırma talepleri</w:t>
      </w:r>
    </w:p>
    <w:p>
      <w:r>
        <w:rPr>
          <w:b w:val="0"/>
          <w:i w:val="0"/>
        </w:rPr>
        <w:t>Ek-1 ve Ek-2’deki kendi hesap kayıtlarım; Ek-3’teki paylaşımın özgün kaydı ve tanımlayıcı bilgileri; Ek-4’teki şirket açıklaması; Ek-5’teki fiyat ve hacim verileri; Ek-6’daki hesap cetveli; ilgili kurumlarda bulunan emir, işlem, hesap ve iletişim kayıtları ile inceleme sonucunda ortaya çıkacak diğer deliller.</w:t>
      </w:r>
    </w:p>
    <w:p>
      <w:r>
        <w:rPr>
          <w:b w:val="0"/>
          <w:i w:val="0"/>
        </w:rPr>
        <w:t>7–22 Eylül 2026 dönemindeki ilgili pay işlemlerinin, gerekli görülürse önceki ve sonraki dönemle birlikte incelenmesini; paylaşımın kimin tarafından yapıldığının, bağlantılı hesapların ve menfaatin araştırılmasını; silinme veya değişme ihtimali bulunan kayıtların hukuka uygun yollarla korunmasını talep ederim. Somut deliller ve kanuni şartlar oluştuğu takdirde, olayla bağlantılı malvarlığı değerleri yönünden uygun koruma tedbirlerinin değerlendirilmesini isterim.</w:t>
      </w:r>
    </w:p>
    <w:p>
      <w:r>
        <w:rPr>
          <w:b/>
          <w:i w:val="0"/>
        </w:rPr>
        <w:t>Sonuç ve istem:</w:t>
      </w:r>
      <w:r>
        <w:rPr>
          <w:b w:val="0"/>
          <w:i w:val="0"/>
        </w:rPr>
        <w:t xml:space="preserve"> Açıklanan olaylar nedeniyle şikâyetçiyim. Hukuki nitelendirme ve özel soruşturma koşulları değerlendirilerek gerekli işlemlerin yapılmasını, kişisel zararımın olayla bağlantısının araştırılmasını, başvurumun ilgili soruşturmayla ilişkilendirilmesini ve usulüne uygun bildirimlerin yapılmasını arz ederim.</w:t>
      </w:r>
    </w:p>
    <w:p>
      <w:r>
        <w:rPr>
          <w:b/>
          <w:i w:val="0"/>
        </w:rPr>
        <w:t>Ekler:</w:t>
      </w:r>
      <w:r>
        <w:rPr>
          <w:b w:val="0"/>
          <w:i w:val="0"/>
        </w:rPr>
        <w:t xml:space="preserve"> Ek-1 işlem dökümü; Ek-2 MKK hareket ve bakiye kaydı; Ek-3 paylaşım kaydı; Ek-4 şirket açıklaması; Ek-5 fiyat ve hacim verileri; Ek-6 alım-satım ve ekonomik fark cetveli.</w:t>
      </w:r>
    </w:p>
    <w:p>
      <w:pPr>
        <w:sectPr>
          <w:headerReference w:type="default" r:id="rId14"/>
          <w:footerReference w:type="default" r:id="rId15"/>
          <w:pgSz w:w="11906" w:h="16838"/>
          <w:pgMar w:top="1020" w:right="1191" w:bottom="1020" w:left="1191" w:header="397" w:footer="397" w:gutter="0"/>
          <w:cols w:space="720"/>
          <w:docGrid w:linePitch="360"/>
        </w:sectPr>
      </w:pPr>
    </w:p>
    <w:p>
      <w:bookmarkStart w:id="103" w:name="islem_cetveli"/>
      <w:pPr>
        <w:pStyle w:val="Heading1"/>
      </w:pPr>
      <w:r>
        <w:t>03   İşlem ve ekonomik fark cetveli</w:t>
      </w:r>
      <w:bookmarkEnd w:id="103"/>
    </w:p>
    <w:p>
      <w:pPr>
        <w:pStyle w:val="Subtitle"/>
      </w:pPr>
      <w:r>
        <w:t>Kurgusal örnek    •    Tüm tutarlar TL    •    Değerleme tarihi 15 Ekim 2026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1020"/>
        <w:gridCol w:w="2381"/>
        <w:gridCol w:w="1701"/>
        <w:gridCol w:w="1587"/>
        <w:gridCol w:w="2948"/>
        <w:gridCol w:w="2438"/>
      </w:tblGrid>
      <w:tr>
        <w:trPr>
          <w:cantSplit/>
          <w:tblHeader/>
        </w:trPr>
        <w:tc>
          <w:tcPr>
            <w:tcW w:type="dxa" w:w="2381"/>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Tarih ve işlem</w:t>
            </w:r>
          </w:p>
        </w:tc>
        <w:tc>
          <w:tcPr>
            <w:tcW w:type="dxa" w:w="1020"/>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Adet</w:t>
            </w:r>
          </w:p>
        </w:tc>
        <w:tc>
          <w:tcPr>
            <w:tcW w:type="dxa" w:w="2381"/>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Birim fiyat</w:t>
            </w:r>
          </w:p>
        </w:tc>
        <w:tc>
          <w:tcPr>
            <w:tcW w:type="dxa" w:w="1701"/>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Brüt tutar</w:t>
            </w:r>
          </w:p>
        </w:tc>
        <w:tc>
          <w:tcPr>
            <w:tcW w:type="dxa" w:w="1587"/>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Komisyon</w:t>
            </w:r>
          </w:p>
        </w:tc>
        <w:tc>
          <w:tcPr>
            <w:tcW w:type="dxa" w:w="2948"/>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Nakit etkisi</w:t>
            </w:r>
          </w:p>
        </w:tc>
        <w:tc>
          <w:tcPr>
            <w:tcW w:type="dxa" w:w="2438"/>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Dayanak</w:t>
            </w:r>
          </w:p>
        </w:tc>
      </w:tr>
      <w:tr>
        <w:trPr>
          <w:cantSplit/>
        </w:trPr>
        <w:tc>
          <w:tcPr>
            <w:tcW w:type="dxa" w:w="2381"/>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08.09.2026 alım</w:t>
            </w:r>
          </w:p>
        </w:tc>
        <w:tc>
          <w:tcPr>
            <w:tcW w:type="dxa" w:w="1020"/>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1.000</w:t>
            </w:r>
          </w:p>
        </w:tc>
        <w:tc>
          <w:tcPr>
            <w:tcW w:type="dxa" w:w="2381"/>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40,00</w:t>
            </w:r>
          </w:p>
        </w:tc>
        <w:tc>
          <w:tcPr>
            <w:tcW w:type="dxa" w:w="1701"/>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40.000,00</w:t>
            </w:r>
          </w:p>
        </w:tc>
        <w:tc>
          <w:tcPr>
            <w:tcW w:type="dxa" w:w="1587"/>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40,00</w:t>
            </w:r>
          </w:p>
        </w:tc>
        <w:tc>
          <w:tcPr>
            <w:tcW w:type="dxa" w:w="2948"/>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40.040,00 çıkış</w:t>
            </w:r>
          </w:p>
        </w:tc>
        <w:tc>
          <w:tcPr>
            <w:tcW w:type="dxa" w:w="2438"/>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Ek-1, işlem A-01</w:t>
            </w:r>
          </w:p>
        </w:tc>
      </w:tr>
      <w:tr>
        <w:trPr>
          <w:cantSplit/>
        </w:trPr>
        <w:tc>
          <w:tcPr>
            <w:tcW w:type="dxa" w:w="2381"/>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10.09.2026 alım</w:t>
            </w:r>
          </w:p>
        </w:tc>
        <w:tc>
          <w:tcPr>
            <w:tcW w:type="dxa" w:w="1020"/>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500</w:t>
            </w:r>
          </w:p>
        </w:tc>
        <w:tc>
          <w:tcPr>
            <w:tcW w:type="dxa" w:w="2381"/>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44,00</w:t>
            </w:r>
          </w:p>
        </w:tc>
        <w:tc>
          <w:tcPr>
            <w:tcW w:type="dxa" w:w="1701"/>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22.000,00</w:t>
            </w:r>
          </w:p>
        </w:tc>
        <w:tc>
          <w:tcPr>
            <w:tcW w:type="dxa" w:w="1587"/>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22,00</w:t>
            </w:r>
          </w:p>
        </w:tc>
        <w:tc>
          <w:tcPr>
            <w:tcW w:type="dxa" w:w="2948"/>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22.022,00 çıkış</w:t>
            </w:r>
          </w:p>
        </w:tc>
        <w:tc>
          <w:tcPr>
            <w:tcW w:type="dxa" w:w="2438"/>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Ek-1, işlem A-02</w:t>
            </w:r>
          </w:p>
        </w:tc>
      </w:tr>
      <w:tr>
        <w:trPr>
          <w:cantSplit/>
        </w:trPr>
        <w:tc>
          <w:tcPr>
            <w:tcW w:type="dxa" w:w="2381"/>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22.09.2026 satış</w:t>
            </w:r>
          </w:p>
        </w:tc>
        <w:tc>
          <w:tcPr>
            <w:tcW w:type="dxa" w:w="1020"/>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600</w:t>
            </w:r>
          </w:p>
        </w:tc>
        <w:tc>
          <w:tcPr>
            <w:tcW w:type="dxa" w:w="2381"/>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28,00</w:t>
            </w:r>
          </w:p>
        </w:tc>
        <w:tc>
          <w:tcPr>
            <w:tcW w:type="dxa" w:w="1701"/>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16.800,00</w:t>
            </w:r>
          </w:p>
        </w:tc>
        <w:tc>
          <w:tcPr>
            <w:tcW w:type="dxa" w:w="1587"/>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2"/>
              </w:rPr>
              <w:t>16,80</w:t>
            </w:r>
          </w:p>
        </w:tc>
        <w:tc>
          <w:tcPr>
            <w:tcW w:type="dxa" w:w="2948"/>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16.783,20 giriş</w:t>
            </w:r>
          </w:p>
        </w:tc>
        <w:tc>
          <w:tcPr>
            <w:tcW w:type="dxa" w:w="2438"/>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Ek-1, işlem S-01</w:t>
            </w:r>
          </w:p>
        </w:tc>
      </w:tr>
      <w:tr>
        <w:trPr>
          <w:cantSplit/>
        </w:trPr>
        <w:tc>
          <w:tcPr>
            <w:tcW w:type="dxa" w:w="2381"/>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15.10.2026 değerleme</w:t>
            </w:r>
          </w:p>
        </w:tc>
        <w:tc>
          <w:tcPr>
            <w:tcW w:type="dxa" w:w="1020"/>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900 elde</w:t>
            </w:r>
          </w:p>
        </w:tc>
        <w:tc>
          <w:tcPr>
            <w:tcW w:type="dxa" w:w="2381"/>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22,00 varsayımsal kapanış</w:t>
            </w:r>
          </w:p>
        </w:tc>
        <w:tc>
          <w:tcPr>
            <w:tcW w:type="dxa" w:w="1701"/>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19.800,00</w:t>
            </w:r>
          </w:p>
        </w:tc>
        <w:tc>
          <w:tcPr>
            <w:tcW w:type="dxa" w:w="1587"/>
            <w:vAlign w:val="center"/>
            <w:tcMar>
              <w:top w:w="110" w:type="dxa"/>
              <w:bottom w:w="110" w:type="dxa"/>
              <w:left w:w="110" w:type="dxa"/>
              <w:right w:w="110" w:type="dxa"/>
            </w:tcMar>
            <w:shd w:fill="F3F5F3"/>
          </w:tcPr>
          <w:p>
            <w:pPr>
              <w:spacing w:after="0" w:line="262" w:lineRule="auto"/>
              <w:jc w:val="right"/>
            </w:pPr>
            <w:r>
              <w:rPr>
                <w:rFonts w:ascii="Calibri" w:hAnsi="Calibri"/>
                <w:b w:val="0"/>
                <w:color w:val="111111"/>
                <w:sz w:val="22"/>
              </w:rPr>
              <w:t>Satış yok</w:t>
            </w:r>
          </w:p>
        </w:tc>
        <w:tc>
          <w:tcPr>
            <w:tcW w:type="dxa" w:w="2948"/>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Nakit hareketi yok</w:t>
            </w:r>
          </w:p>
        </w:tc>
        <w:tc>
          <w:tcPr>
            <w:tcW w:type="dxa" w:w="2438"/>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Ek-2 ve Ek-5</w:t>
            </w:r>
          </w:p>
        </w:tc>
      </w:tr>
    </w:tbl>
    <w:p>
      <w:pPr>
        <w:spacing w:after="20" w:line="60" w:lineRule="exact"/>
      </w:pPr>
      <w:r>
        <w:rPr>
          <w:sz w:val="6"/>
        </w:rPr>
      </w:r>
    </w:p>
    <w:p>
      <w:pPr>
        <w:pStyle w:val="Heading2"/>
      </w:pPr>
      <w:r>
        <w:t>Hesabın özeti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28"/>
        <w:gridCol w:w="3628"/>
        <w:gridCol w:w="3628"/>
        <w:gridCol w:w="3572"/>
      </w:tblGrid>
      <w:tr>
        <w:trPr>
          <w:cantSplit/>
          <w:tblHeader/>
        </w:trPr>
        <w:tc>
          <w:tcPr>
            <w:tcW w:type="dxa" w:w="3628"/>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3"/>
              </w:rPr>
              <w:t>Alış için çıkan toplam</w:t>
            </w:r>
          </w:p>
        </w:tc>
        <w:tc>
          <w:tcPr>
            <w:tcW w:type="dxa" w:w="3628"/>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3"/>
              </w:rPr>
              <w:t>Net satış geliri</w:t>
            </w:r>
          </w:p>
        </w:tc>
        <w:tc>
          <w:tcPr>
            <w:tcW w:type="dxa" w:w="3628"/>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3"/>
              </w:rPr>
              <w:t>Kalan 900 payın değeri</w:t>
            </w:r>
          </w:p>
        </w:tc>
        <w:tc>
          <w:tcPr>
            <w:tcW w:type="dxa" w:w="3572"/>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3"/>
              </w:rPr>
              <w:t>Ekonomik fark</w:t>
            </w:r>
          </w:p>
        </w:tc>
      </w:tr>
      <w:tr>
        <w:trPr>
          <w:cantSplit/>
        </w:trPr>
        <w:tc>
          <w:tcPr>
            <w:tcW w:type="dxa" w:w="3628"/>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3"/>
              </w:rPr>
              <w:t>62.062,00</w:t>
            </w:r>
          </w:p>
        </w:tc>
        <w:tc>
          <w:tcPr>
            <w:tcW w:type="dxa" w:w="3628"/>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3"/>
              </w:rPr>
              <w:t>16.783,20</w:t>
            </w:r>
          </w:p>
        </w:tc>
        <w:tc>
          <w:tcPr>
            <w:tcW w:type="dxa" w:w="3628"/>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3"/>
              </w:rPr>
              <w:t>19.800,00</w:t>
            </w:r>
          </w:p>
        </w:tc>
        <w:tc>
          <w:tcPr>
            <w:tcW w:type="dxa" w:w="3572"/>
            <w:vAlign w:val="center"/>
            <w:tcMar>
              <w:top w:w="110" w:type="dxa"/>
              <w:bottom w:w="110" w:type="dxa"/>
              <w:left w:w="110" w:type="dxa"/>
              <w:right w:w="110" w:type="dxa"/>
            </w:tcMar>
            <w:shd w:fill="FFFFFF"/>
          </w:tcPr>
          <w:p>
            <w:pPr>
              <w:spacing w:after="0" w:line="262" w:lineRule="auto"/>
              <w:jc w:val="right"/>
            </w:pPr>
            <w:r>
              <w:rPr>
                <w:rFonts w:ascii="Calibri" w:hAnsi="Calibri"/>
                <w:b w:val="0"/>
                <w:color w:val="111111"/>
                <w:sz w:val="23"/>
              </w:rPr>
              <w:t>25.478,80</w:t>
            </w:r>
          </w:p>
        </w:tc>
      </w:tr>
    </w:tbl>
    <w:p>
      <w:pPr>
        <w:spacing w:after="20" w:line="60" w:lineRule="exact"/>
      </w:pPr>
      <w:r>
        <w:rPr>
          <w:sz w:val="6"/>
        </w:rPr>
      </w:r>
    </w:p>
    <w:p>
      <w:r>
        <w:t>62.062,00 − 16.783,20 − 19.800,00 = 25.478,80 TL. Bu tutar hukuken istenebilecek tazminatın kesin hesabı değildir; eldeki payların değeri hesaptan çıkarılmadan gösterilmiştir.</w:t>
      </w:r>
    </w:p>
    <w:p>
      <w:pPr>
        <w:pStyle w:val="Heading2"/>
      </w:pPr>
      <w:r>
        <w:t>Hesap varsayımları</w:t>
      </w:r>
    </w:p>
    <w:p>
      <w:r>
        <w:t>Hesapta başlangıçta bu pay bulunmadığı, tek hesap kullanıldığı, temettü, bedelli veya bedelsiz sermaye artırımı, bölünme, virman ve başka ödeme olmadığı varsayılmıştır. Tabloda gösterilen komisyonlar dışında ayrıca vergi veya işlem gideri bulunmadığı kabul edilmiştir. Gerçek dosyada bunlardan biri varsa tablo aynen kullanılamaz. Özellikle önceki dönemden devreden paylar ve başka kuruma taşınan paylar hesaba katılmadan zarar hesaplanmamalıdır.</w:t>
      </w:r>
    </w:p>
    <w:p>
      <w:pPr>
        <w:sectPr>
          <w:headerReference w:type="default" r:id="rId16"/>
          <w:footerReference w:type="default" r:id="rId17"/>
          <w:pgSz w:w="16838" w:h="11906" w:orient="landscape"/>
          <w:pgMar w:top="1020" w:right="1191" w:bottom="1020" w:left="1191" w:header="397" w:footer="397" w:gutter="0"/>
          <w:cols w:space="720"/>
          <w:docGrid w:linePitch="360"/>
        </w:sectPr>
      </w:pPr>
    </w:p>
    <w:p>
      <w:pPr>
        <w:pStyle w:val="Heading1"/>
      </w:pPr>
      <w:r>
        <w:t>İşlem cetvelini nasıl okumalı</w:t>
      </w:r>
    </w:p>
    <w:p>
      <w:r>
        <w:rPr>
          <w:b w:val="0"/>
          <w:i w:val="0"/>
        </w:rPr>
        <w:t xml:space="preserve">Önce aracı kurumdan alınan işlem dökümü esas alınır. Emir tarihi, gerçekleşme tarihi ve takas tarihi ayrı tutulur; tabloda fiyat ve adet için </w:t>
      </w:r>
      <w:r>
        <w:rPr>
          <w:b/>
          <w:i w:val="0"/>
        </w:rPr>
        <w:t>gerçekleşen işlem</w:t>
      </w:r>
      <w:r>
        <w:rPr>
          <w:b w:val="0"/>
          <w:i w:val="0"/>
        </w:rPr>
        <w:t xml:space="preserve"> kullanılır. İptal edilmiş veya hiç gerçekleşmemiş satış, satış geliri gibi kaydedilmez. MKK kaydı payın hesap ve hareket kontrolüne yardımcıdır; gerçekleşme fiyatını ve komisyonu tek başına açıklamayabilir. Her satırın işlem numarası ve dayanak ekinin bulunması sonradan kontrolü kolaylaştırır.</w:t>
      </w:r>
    </w:p>
    <w:p>
      <w:r>
        <w:rPr>
          <w:b w:val="0"/>
          <w:i w:val="0"/>
        </w:rPr>
        <w:t xml:space="preserve">Bu tabloda 62.062,00 TL alış için hesaptan çıkmış, 16.783,20 TL net satış geliri hesaba girmiştir. Elde kalan 900 payın varsayımsal değeri 19.800,00 TL’dir. Böylece belirtilen tarih itibarıyla ekonomik fark </w:t>
      </w:r>
      <w:r>
        <w:rPr>
          <w:b/>
          <w:i w:val="0"/>
        </w:rPr>
        <w:t>62.062,00 − 16.783,20 − 19.800,00 = 25.478,80 TL</w:t>
      </w:r>
      <w:r>
        <w:rPr>
          <w:b w:val="0"/>
          <w:i w:val="0"/>
        </w:rPr>
        <w:t xml:space="preserve"> olur. Değerleme satırı satış satırı değildir; yatırımcının hâlen sahip olduğu varlık yokmuş gibi gösterilmemiştir.</w:t>
      </w:r>
    </w:p>
    <w:p>
      <w:r>
        <w:rPr>
          <w:b w:val="0"/>
          <w:i w:val="0"/>
        </w:rPr>
        <w:t>Örnekte iki alım da satıştan önce gerçekleştiğinden, alış komisyonu dâhil ağırlıklı ortalama birim maliyet 62.062,00 / 1.500 = 41,374666… TL’dir. Ara hesap yuvarlanmadan yapıldığında satılan 600 paya düşen maliyet 24.824,80 TL; gerçekleşmiş fark 8.041,60 TL’dir. Kalan payların maliyeti 37.237,20 TL ve değerleme farkı 17.437,20 TL’dir. İki kalem toplamı yine 25.478,80 TL eder. Bu yöntem yalnız bu basit örnek içindir; araya satışların girdiği çok sayıda işlemde tüm dönem alışlarının tek ortalamasını almak hatalı sonuç verebilir.</w:t>
      </w:r>
    </w:p>
    <w:p>
      <w:pPr>
        <w:pStyle w:val="Heading2"/>
      </w:pPr>
      <w:r>
        <w:t>Bu toplam neden doğrudan tazminat tutarı değildir</w:t>
      </w:r>
    </w:p>
    <w:p>
      <w:r>
        <w:rPr>
          <w:b w:val="0"/>
          <w:i w:val="0"/>
        </w:rPr>
        <w:t>Tablo, hesabın ekonomik durumunu gösterir. Hukuken istenebilecek zarar için ayrıca ihlalin fiyat üzerindeki etkisi, genel piyasa hareketi, şirketin kendi faaliyetleri, açıklamanın öğrenildiği zaman ve yatırımcının işlemleri incelenir. Aynı ekonomik kayıp hem alış-satış farkı hem elde kalan pay kaybı adıyla iki kez yazılmamalıdır. Temettü, tazminat, sulh ödemesi veya başka tahsilat varsa ilgili kalemden mahsup edilmelidir.</w:t>
      </w:r>
    </w:p>
    <w:p>
      <w:r>
        <w:rPr>
          <w:b w:val="0"/>
          <w:i w:val="0"/>
        </w:rPr>
        <w:t>“Hisse bir dönem 100 TL idi; bugün 22 TL, aradaki farkı isterim” yaklaşımı tek başına hukuki zarar hesabı değildir. Elde tutulan paylarda görünen zarar da gerçekleşmiş satış kaybıyla aynı anlatılmamalıdır. Satış yapılmamış olması her türlü talebi kendiliğinden dışlamaz; fakat talebin türü, zarar tarihi, değerleme yöntemi ve henüz gerçekleşmemiş unsurlar açıklanmalıdır. Başvuru yapmak amacıyla pay satılması gerektiği sonucu çıkarılmamalıdır.</w:t>
      </w:r>
    </w:p>
    <w:p>
      <w:pPr>
        <w:sectPr>
          <w:headerReference w:type="default" r:id="rId18"/>
          <w:footerReference w:type="default" r:id="rId19"/>
          <w:pgSz w:w="11906" w:h="16838"/>
          <w:pgMar w:top="1020" w:right="1191" w:bottom="1020" w:left="1191" w:header="397" w:footer="397" w:gutter="0"/>
          <w:cols w:space="720"/>
          <w:docGrid w:linePitch="360"/>
        </w:sectPr>
      </w:pPr>
    </w:p>
    <w:p>
      <w:bookmarkStart w:id="104" w:name="delil_dizini"/>
      <w:pPr>
        <w:pStyle w:val="Heading1"/>
      </w:pPr>
      <w:r>
        <w:t>04   Delil ekleri dizini</w:t>
      </w:r>
      <w:bookmarkEnd w:id="104"/>
    </w:p>
    <w:p>
      <w:r>
        <w:rPr>
          <w:b w:val="0"/>
          <w:i w:val="0"/>
        </w:rPr>
        <w:t>Yüzlerce ekran görüntüsünü açıklamasız göndermek incelemeyi zorlaştırır. Her ek için belgenin kaynağı, tarihi, sayfa aralığı ve göstermek istediği olay yazılmalıdır. Özet cetvel asıl belgenin yerine geçmez; cetveldeki rakam ilgili ekstre veya dekonttan izlenebilmelidir.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24"/>
        <w:gridCol w:w="4025"/>
        <w:gridCol w:w="4876"/>
      </w:tblGrid>
      <w:tr>
        <w:trPr>
          <w:cantSplit/>
          <w:tblHeader/>
        </w:trPr>
        <w:tc>
          <w:tcPr>
            <w:tcW w:type="dxa" w:w="624"/>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Ek</w:t>
            </w:r>
          </w:p>
        </w:tc>
        <w:tc>
          <w:tcPr>
            <w:tcW w:type="dxa" w:w="4025"/>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Belge</w:t>
            </w:r>
          </w:p>
        </w:tc>
        <w:tc>
          <w:tcPr>
            <w:tcW w:type="dxa" w:w="4876"/>
            <w:vAlign w:val="center"/>
            <w:tcMar>
              <w:top w:w="110" w:type="dxa"/>
              <w:bottom w:w="110" w:type="dxa"/>
              <w:left w:w="110" w:type="dxa"/>
              <w:right w:w="110" w:type="dxa"/>
            </w:tcMar>
            <w:shd w:fill="293B36"/>
          </w:tcPr>
          <w:p>
            <w:pPr>
              <w:spacing w:after="0" w:line="262" w:lineRule="auto"/>
              <w:jc w:val="left"/>
            </w:pPr>
            <w:r>
              <w:rPr>
                <w:rFonts w:ascii="Calibri" w:hAnsi="Calibri"/>
                <w:b/>
                <w:color w:val="FFFFFF"/>
                <w:sz w:val="22"/>
              </w:rPr>
              <w:t>İspat amacı ve sınırı</w:t>
            </w:r>
          </w:p>
        </w:tc>
      </w:tr>
      <w:tr>
        <w:trPr>
          <w:cantSplit/>
        </w:trPr>
        <w:tc>
          <w:tcPr>
            <w:tcW w:type="dxa" w:w="624"/>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Ek-1</w:t>
            </w:r>
          </w:p>
        </w:tc>
        <w:tc>
          <w:tcPr>
            <w:tcW w:type="dxa" w:w="4025"/>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01.09–15.10.2026 hesap ve işlem dökümü; A-01, A-02, S-01 kayıtları</w:t>
            </w:r>
          </w:p>
        </w:tc>
        <w:tc>
          <w:tcPr>
            <w:tcW w:type="dxa" w:w="4876"/>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Adet, fiyat, komisyon, gerçekleşme ve nakit hareketi; başkasının işlem hesabını göstermez.</w:t>
            </w:r>
          </w:p>
        </w:tc>
      </w:tr>
      <w:tr>
        <w:trPr>
          <w:cantSplit/>
        </w:trPr>
        <w:tc>
          <w:tcPr>
            <w:tcW w:type="dxa" w:w="624"/>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Ek-2</w:t>
            </w:r>
          </w:p>
        </w:tc>
        <w:tc>
          <w:tcPr>
            <w:tcW w:type="dxa" w:w="4025"/>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Aynı dönem MKK hesap hareketleri ve 15.10.2026 bakiye kaydı</w:t>
            </w:r>
          </w:p>
        </w:tc>
        <w:tc>
          <w:tcPr>
            <w:tcW w:type="dxa" w:w="4876"/>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Başlangıç ve kalan payın, virman bulunup bulunmadığının karşılaştırılması; fiyat ve kusur kanıtı değildir.</w:t>
            </w:r>
          </w:p>
        </w:tc>
      </w:tr>
      <w:tr>
        <w:trPr>
          <w:cantSplit/>
        </w:trPr>
        <w:tc>
          <w:tcPr>
            <w:tcW w:type="dxa" w:w="624"/>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Ek-3</w:t>
            </w:r>
          </w:p>
        </w:tc>
        <w:tc>
          <w:tcPr>
            <w:tcW w:type="dxa" w:w="4025"/>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07.09.2026 paylaşımının tam bağlantısı, hesap tanımlayıcısı, tarih-saat bilgisi ve özgün kaydı</w:t>
            </w:r>
          </w:p>
        </w:tc>
        <w:tc>
          <w:tcPr>
            <w:tcW w:type="dxa" w:w="4876"/>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İleri sürülen açıklamanın içeriği ve yatırımcının gördüğü kayıt; hesabın gerçek kişiye aitliği ayrıca araştırılır.</w:t>
            </w:r>
          </w:p>
        </w:tc>
      </w:tr>
      <w:tr>
        <w:trPr>
          <w:cantSplit/>
        </w:trPr>
        <w:tc>
          <w:tcPr>
            <w:tcW w:type="dxa" w:w="624"/>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Ek-4</w:t>
            </w:r>
          </w:p>
        </w:tc>
        <w:tc>
          <w:tcPr>
            <w:tcW w:type="dxa" w:w="4025"/>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11.09.2026 tarihli varsayımsal şirket açıklamasının tam metni ve yayımlanma bilgisi</w:t>
            </w:r>
          </w:p>
        </w:tc>
        <w:tc>
          <w:tcPr>
            <w:tcW w:type="dxa" w:w="4876"/>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Önceki iddia ile sonraki açıklamanın karşılaştırılması; tek başına fail veya kazanç tespiti değildir.</w:t>
            </w:r>
          </w:p>
        </w:tc>
      </w:tr>
      <w:tr>
        <w:trPr>
          <w:cantSplit/>
        </w:trPr>
        <w:tc>
          <w:tcPr>
            <w:tcW w:type="dxa" w:w="624"/>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Ek-5</w:t>
            </w:r>
          </w:p>
        </w:tc>
        <w:tc>
          <w:tcPr>
            <w:tcW w:type="dxa" w:w="4025"/>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İlgili dönem pay fiyat/hacim verileri ve karşılaştırma için piyasa verileri</w:t>
            </w:r>
          </w:p>
        </w:tc>
        <w:tc>
          <w:tcPr>
            <w:tcW w:type="dxa" w:w="4876"/>
            <w:vAlign w:val="center"/>
            <w:tcMar>
              <w:top w:w="110" w:type="dxa"/>
              <w:bottom w:w="110" w:type="dxa"/>
              <w:left w:w="110" w:type="dxa"/>
              <w:right w:w="110" w:type="dxa"/>
            </w:tcMar>
            <w:shd w:fill="FFFFFF"/>
          </w:tcPr>
          <w:p>
            <w:pPr>
              <w:spacing w:after="0" w:line="262" w:lineRule="auto"/>
              <w:jc w:val="left"/>
            </w:pPr>
            <w:r>
              <w:rPr>
                <w:rFonts w:ascii="Calibri" w:hAnsi="Calibri"/>
                <w:b w:val="0"/>
                <w:color w:val="111111"/>
                <w:sz w:val="22"/>
              </w:rPr>
              <w:t>Zaman ve fiyat etkisinin incelenmesi; tek bir düşüş grafiği manipülasyonu kanıtlamaz.</w:t>
            </w:r>
          </w:p>
        </w:tc>
      </w:tr>
      <w:tr>
        <w:trPr>
          <w:cantSplit/>
        </w:trPr>
        <w:tc>
          <w:tcPr>
            <w:tcW w:type="dxa" w:w="624"/>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Ek-6</w:t>
            </w:r>
          </w:p>
        </w:tc>
        <w:tc>
          <w:tcPr>
            <w:tcW w:type="dxa" w:w="4025"/>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Yukarıdaki işlem cetveli, varsayımlar ve hesap açıklaması</w:t>
            </w:r>
          </w:p>
        </w:tc>
        <w:tc>
          <w:tcPr>
            <w:tcW w:type="dxa" w:w="4876"/>
            <w:vAlign w:val="center"/>
            <w:tcMar>
              <w:top w:w="110" w:type="dxa"/>
              <w:bottom w:w="110" w:type="dxa"/>
              <w:left w:w="110" w:type="dxa"/>
              <w:right w:w="110" w:type="dxa"/>
            </w:tcMar>
            <w:shd w:fill="F3F5F3"/>
          </w:tcPr>
          <w:p>
            <w:pPr>
              <w:spacing w:after="0" w:line="262" w:lineRule="auto"/>
              <w:jc w:val="left"/>
            </w:pPr>
            <w:r>
              <w:rPr>
                <w:rFonts w:ascii="Calibri" w:hAnsi="Calibri"/>
                <w:b w:val="0"/>
                <w:color w:val="111111"/>
                <w:sz w:val="22"/>
              </w:rPr>
              <w:t>Ekonomik farkın kontrol edilebilir özeti; kesin bilirkişi tazminat hesabı değildir.</w:t>
            </w:r>
          </w:p>
        </w:tc>
      </w:tr>
    </w:tbl>
    <w:p>
      <w:pPr>
        <w:spacing w:after="20" w:line="60" w:lineRule="exact"/>
      </w:pPr>
      <w:r>
        <w:rPr>
          <w:sz w:val="6"/>
        </w:rPr>
      </w:r>
    </w:p>
    <w:p>
      <w:r>
        <w:rPr>
          <w:b w:val="0"/>
          <w:i w:val="0"/>
        </w:rPr>
        <w:t>Dijital kayıtlarda sadece kırpılmış görseli saklamayın. Tam sayfa veya sohbet dışa aktarımı, bağlantı, kullanıcı adıyla birlikte değişmeyen hesap tanımlayıcısı bulunabiliyorsa bu bilgi, saat dilimi ve dosyanın özgün hâli korunmalıdır. Paylaşımın sonradan değiştirilmesi ya da silinmesi ihtimali varsa tarihli tespit değerlendirilir. Dosyanın özet değerinin alınması sonraki değişiklik kontrolüne yarar; içeriğin doğru olduğunu veya hesabın belirli kişiye ait olduğunu tek başına ispatlamaz.</w:t>
      </w:r>
    </w:p>
    <w:p>
      <w:r>
        <w:rPr>
          <w:b w:val="0"/>
          <w:i w:val="0"/>
        </w:rPr>
        <w:t>Başvuruda gereksiz kişisel veri bulunmamalıdır. Ancak yetkili mercie sunulan olayla ilgili belgenin delil değerini yok edecek biçimde işlem numaralarını ve bağlantıları karartmak da doğru değildir. Kamuya açık paylaşım için hazırlanmış anonim kopya ile mercie sunulacak belge ayrı tutulmalıdır.</w:t>
      </w:r>
    </w:p>
    <w:p>
      <w:r>
        <w:t>Bu dosyadaki ek listesi bir düzenleme örneğidir. Banka veya aracı kurum dökümü, MKK kaydı, paylaşımın özgün kaydı ve diğer belgeler başvuranın kendi olayından temin edilerek eklenmelidir.</w:t>
      </w:r>
    </w:p>
    <w:sectPr w:rsidR="00FC693F" w:rsidRPr="0006063C" w:rsidSect="00034616">
      <w:headerReference w:type="default" r:id="rId20"/>
      <w:footerReference w:type="default" r:id="rId21"/>
      <w:pgSz w:w="11906" w:h="16838"/>
      <w:pgMar w:top="1020" w:right="1191" w:bottom="1020" w:left="1191"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Kurgusal eğitim örneği    •    pegahukuk.com</w:t>
      <w:tab/>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Kurgusal eğitim örneği    •    pegahukuk.com</w:t>
      <w:tab/>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Kurgusal eğitim örneği    •    pegahukuk.com</w:t>
      <w:tab/>
    </w:r>
    <w:fldSimple w:instr="PAG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457" w:val="right"/>
      </w:tabs>
    </w:pPr>
    <w:r>
      <w:t>Kurgusal eğitim örneği    •    pegahukuk.com</w:t>
      <w:tab/>
    </w:r>
    <w:fldSimple w:instr="PAG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Kurgusal eğitim örneği    •    pegahukuk.com</w:t>
      <w:tab/>
    </w:r>
    <w:fldSimple w:instr="PAG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Kurgusal eğitim örneği    •    pegahukuk.com</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PEGA HUKUK    /    HİSSE YATIRIMCILARI İÇİN BAŞVURU ÖRNEKLERİ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1" w:lineRule="auto" w:after="160"/>
    </w:pPr>
    <w:rPr>
      <w:rFonts w:ascii="Cambria" w:hAnsi="Cambria" w:eastAsia="Cambria" w:cs="Cambria"/>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b w:val="0"/>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b w:val="0"/>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59" w:lineRule="auto"/>
      <w:outlineLvl w:val="0"/>
    </w:pPr>
    <w:rPr>
      <w:rFonts w:ascii="Calibri" w:hAnsi="Calibri" w:eastAsia="Calibri" w:cs="Calibri"/>
      <w:b/>
      <w:bCs/>
      <w:i w:val="0"/>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60" w:line="259" w:lineRule="auto"/>
      <w:outlineLvl w:val="1"/>
    </w:pPr>
    <w:rPr>
      <w:rFonts w:ascii="Calibri" w:hAnsi="Calibri" w:eastAsia="Calibri" w:cs="Calibri"/>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60" w:line="259" w:lineRule="auto"/>
      <w:outlineLvl w:val="2"/>
    </w:pPr>
    <w:rPr>
      <w:rFonts w:ascii="Calibri" w:hAnsi="Calibri" w:eastAsia="Calibri" w:cs="Calibri"/>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59" w:lineRule="auto" w:before="0"/>
      <w:contextualSpacing/>
    </w:pPr>
    <w:rPr>
      <w:rFonts w:ascii="Calibri" w:hAnsi="Calibri" w:eastAsia="Calibri" w:cs="Calibri"/>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59" w:lineRule="auto"/>
    </w:pPr>
    <w:rPr>
      <w:rFonts w:ascii="Calibri" w:hAnsi="Calibri" w:eastAsia="Calibri" w:cs="Calibri"/>
      <w:b w:val="0"/>
      <w:i w:val="0"/>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60" w:line="281" w:lineRule="auto"/>
    </w:pPr>
    <w:rPr>
      <w:rFonts w:ascii="Cambria" w:hAnsi="Cambria" w:eastAsia="Cambria" w:cs="Cambria"/>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81" w:lineRule="auto" w:after="160"/>
      <w:contextualSpacing/>
    </w:pPr>
    <w:rPr>
      <w:rFonts w:ascii="Cambria" w:hAnsi="Cambria" w:eastAsia="Cambria" w:cs="Cambria"/>
      <w:b w:val="0"/>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81" w:lineRule="auto" w:after="160"/>
      <w:contextualSpacing/>
    </w:pPr>
    <w:rPr>
      <w:rFonts w:ascii="Cambria" w:hAnsi="Cambria" w:eastAsia="Cambria" w:cs="Cambria"/>
      <w:b w:val="0"/>
      <w:color w:val="000000"/>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egahukuk.com/hisse-magdurlari-spk-savcilik-basvuru-ornekleri/" TargetMode="Externa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ns0:Properties xmlns:ns0="http://schemas.openxmlformats.org/officeDocument/2006/extended-properties">
  <ns0:Pages>8</ns0:Pages>
  <ns0:DocSecurity>0</ns0:DocSecurity>
  <ns0:ScaleCrop>false</ns0:ScaleCrop>
  <ns0:Manager/>
  <ns0:Company>PEGA Hukuk</ns0:Company>
  <ns0:LinksUpToDate>false</ns0:LinksUpToDate>
  <ns0:SharedDoc>false</ns0:SharedDoc>
  <ns0:HyperlinkBase/>
  <ns0:HyperlinksChanged>false</ns0:HyperlinksChanged>
</ns0:Properties>
</file>

<file path=docProps/core.xml><?xml version="1.0" encoding="utf-8"?>
<cp:coreProperties xmlns:cp="http://schemas.openxmlformats.org/package/2006/metadata/core-properties" xmlns:dc="http://purl.org/dc/elements/1.1/" xmlns:dcterms="http://purl.org/dc/terms/" xmlns:xsi="http://www.w3.org/2001/XMLSchema-instance">
  <dc:title>Hisse yatırımcıları için SPK ve savcılık başvuru örnekleri</dc:title>
  <dc:subject>Kurgusal başvuru örnekleri ile işlem ve delil cetvelleri</dc:subject>
  <dc:creator>PEGA Hukuk</dc:creator>
  <cp:keywords>SPK, savcılık, hisse, başvuru, işlem cetveli, delil dizini</cp:keywords>
  <dc:description>Kurgusal SPK ve savcılık başvuru örnekleri; işlem hesabı ve delil dizini.</dc:description>
  <cp:lastModifiedBy>PEGA Hukuk</cp:lastModifiedBy>
  <cp:revision>1</cp:revision>
  <dcterms:created xsi:type="dcterms:W3CDTF">2026-11-03T18:25:43Z</dcterms:created>
  <dcterms:modified xsi:type="dcterms:W3CDTF">2026-11-03T18:25:43Z</dcterms:modified>
  <cp:category/>
</cp:coreProperties>
</file>